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183E05"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Pr>
          <w:rFonts w:ascii="Arial" w:hAnsi="Arial" w:cs="Arial"/>
          <w:b/>
          <w:bCs/>
          <w:snapToGrid w:val="0"/>
          <w:sz w:val="24"/>
          <w:lang w:val="en-GB"/>
        </w:rPr>
        <w:t xml:space="preserve">6-bis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Pr="006E4855">
        <w:rPr>
          <w:rFonts w:ascii="Arial" w:hAnsi="Arial" w:cs="Arial"/>
          <w:b/>
          <w:bCs/>
          <w:snapToGrid w:val="0"/>
          <w:sz w:val="24"/>
          <w:lang w:val="en-GB"/>
        </w:rPr>
        <w:t>R1-</w:t>
      </w:r>
      <w:r w:rsidRPr="004655BF">
        <w:t xml:space="preserve"> </w:t>
      </w:r>
      <w:r w:rsidRPr="004655BF">
        <w:rPr>
          <w:rFonts w:ascii="Arial" w:hAnsi="Arial" w:cs="Arial"/>
          <w:b/>
          <w:bCs/>
          <w:snapToGrid w:val="0"/>
          <w:sz w:val="24"/>
          <w:lang w:val="en-GB"/>
        </w:rPr>
        <w:t>2402810</w:t>
      </w:r>
    </w:p>
    <w:p w:rsidR="00C11716" w:rsidRPr="00151E6E" w:rsidRDefault="00C11716" w:rsidP="00C11716">
      <w:pPr>
        <w:pBdr>
          <w:bottom w:val="single" w:sz="12" w:space="1" w:color="auto"/>
        </w:pBdr>
        <w:adjustRightInd w:val="0"/>
        <w:snapToGrid w:val="0"/>
        <w:spacing w:line="360" w:lineRule="auto"/>
        <w:rPr>
          <w:rFonts w:ascii="Arial" w:eastAsia="MS Mincho" w:hAnsi="Arial" w:cs="Arial"/>
          <w:b/>
          <w:bCs/>
          <w:sz w:val="24"/>
          <w:lang w:eastAsia="ja-JP"/>
        </w:rPr>
      </w:pPr>
      <w:r w:rsidRPr="00782997">
        <w:rPr>
          <w:rFonts w:ascii="Arial" w:eastAsia="MS Mincho" w:hAnsi="Arial" w:cs="Arial"/>
          <w:b/>
          <w:bCs/>
          <w:sz w:val="24"/>
          <w:lang w:eastAsia="ja-JP"/>
        </w:rPr>
        <w:t>Changsha, Hunan Province, China</w:t>
      </w:r>
      <w:r w:rsidRPr="00BD49EE">
        <w:rPr>
          <w:rFonts w:ascii="Arial" w:eastAsia="MS Mincho" w:hAnsi="Arial" w:cs="Arial"/>
          <w:b/>
          <w:bCs/>
          <w:sz w:val="24"/>
          <w:lang w:eastAsia="ja-JP"/>
        </w:rPr>
        <w:t xml:space="preserve">, </w:t>
      </w:r>
      <w:r>
        <w:rPr>
          <w:rFonts w:ascii="Arial" w:eastAsia="MS Mincho" w:hAnsi="Arial" w:cs="Arial"/>
          <w:b/>
          <w:bCs/>
          <w:sz w:val="24"/>
          <w:lang w:eastAsia="ja-JP"/>
        </w:rPr>
        <w:t>April</w:t>
      </w:r>
      <w:r w:rsidRPr="00BD49EE">
        <w:rPr>
          <w:rFonts w:ascii="Arial" w:eastAsia="MS Mincho" w:hAnsi="Arial" w:cs="Arial"/>
          <w:b/>
          <w:bCs/>
          <w:sz w:val="24"/>
          <w:lang w:eastAsia="ja-JP"/>
        </w:rPr>
        <w:t xml:space="preserve"> </w:t>
      </w:r>
      <w:r>
        <w:rPr>
          <w:rFonts w:ascii="Arial" w:eastAsia="MS Mincho" w:hAnsi="Arial" w:cs="Arial"/>
          <w:b/>
          <w:bCs/>
          <w:sz w:val="24"/>
          <w:lang w:eastAsia="ja-JP"/>
        </w:rPr>
        <w:t>15</w:t>
      </w:r>
      <w:r w:rsidRPr="00BD49EE">
        <w:rPr>
          <w:rFonts w:ascii="Arial" w:eastAsia="MS Mincho" w:hAnsi="Arial" w:cs="Arial"/>
          <w:b/>
          <w:bCs/>
          <w:sz w:val="24"/>
          <w:vertAlign w:val="superscript"/>
          <w:lang w:eastAsia="ja-JP"/>
        </w:rPr>
        <w:t>th</w:t>
      </w:r>
      <w:r w:rsidRPr="00BD49EE">
        <w:rPr>
          <w:rFonts w:ascii="Arial" w:eastAsia="MS Mincho" w:hAnsi="Arial" w:cs="Arial"/>
          <w:b/>
          <w:bCs/>
          <w:sz w:val="24"/>
          <w:lang w:eastAsia="ja-JP"/>
        </w:rPr>
        <w:t xml:space="preserve"> –</w:t>
      </w:r>
      <w:r>
        <w:rPr>
          <w:rFonts w:ascii="Arial" w:eastAsia="MS Mincho" w:hAnsi="Arial" w:cs="Arial"/>
          <w:b/>
          <w:bCs/>
          <w:sz w:val="24"/>
          <w:lang w:eastAsia="ja-JP"/>
        </w:rPr>
        <w:t xml:space="preserve"> 19</w:t>
      </w:r>
      <w:r>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w:t>
      </w:r>
      <w:r>
        <w:rPr>
          <w:rFonts w:ascii="Arial" w:eastAsia="MS Mincho" w:hAnsi="Arial" w:cs="Arial"/>
          <w:b/>
          <w:bCs/>
          <w:sz w:val="24"/>
          <w:lang w:eastAsia="ja-JP"/>
        </w:rPr>
        <w:t>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C11716" w:rsidRPr="00152B26">
        <w:rPr>
          <w:rFonts w:ascii="Arial" w:eastAsia="맑은 고딕" w:hAnsi="Arial"/>
          <w:spacing w:val="-4"/>
          <w:kern w:val="0"/>
          <w:sz w:val="24"/>
          <w:szCs w:val="20"/>
        </w:rPr>
        <w:t>Discussion on LS on IUC or DRX in co-channel co-existence</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2E7622">
      <w:pPr>
        <w:pStyle w:val="LGTdoc0"/>
        <w:spacing w:afterLines="0" w:after="0" w:line="240" w:lineRule="auto"/>
        <w:ind w:firstLine="425"/>
        <w:rPr>
          <w:rFonts w:ascii="Calibri" w:hAnsi="Calibri" w:cs="Calibri"/>
          <w:szCs w:val="22"/>
        </w:rPr>
      </w:pPr>
      <w:r>
        <w:rPr>
          <w:rFonts w:ascii="Calibri" w:hAnsi="Calibri" w:cs="Calibri"/>
          <w:szCs w:val="22"/>
        </w:rPr>
        <w:t>In this contribution, we will provide our view on question</w:t>
      </w:r>
      <w:r w:rsidR="002E7622">
        <w:rPr>
          <w:rFonts w:ascii="Calibri" w:hAnsi="Calibri" w:cs="Calibri"/>
          <w:szCs w:val="22"/>
        </w:rPr>
        <w:t>s</w:t>
      </w:r>
      <w:r>
        <w:rPr>
          <w:rFonts w:ascii="Calibri" w:hAnsi="Calibri" w:cs="Calibri"/>
          <w:szCs w:val="22"/>
        </w:rPr>
        <w:t xml:space="preserve"> </w:t>
      </w:r>
      <w:r w:rsidR="002E7622">
        <w:rPr>
          <w:rFonts w:ascii="Calibri" w:hAnsi="Calibri" w:cs="Calibri"/>
          <w:szCs w:val="22"/>
        </w:rPr>
        <w:t>related to which combinations of SL features are supported</w:t>
      </w:r>
      <w:r w:rsidR="00F45938">
        <w:rPr>
          <w:rFonts w:ascii="Calibri" w:hAnsi="Calibri" w:cs="Calibri"/>
          <w:szCs w:val="22"/>
        </w:rPr>
        <w:t xml:space="preserve"> </w:t>
      </w:r>
      <w:r>
        <w:rPr>
          <w:rFonts w:ascii="Calibri" w:hAnsi="Calibri" w:cs="Calibri"/>
          <w:szCs w:val="22"/>
        </w:rPr>
        <w:t>in RAN</w:t>
      </w:r>
      <w:r w:rsidR="002E7622">
        <w:rPr>
          <w:rFonts w:ascii="Calibri" w:hAnsi="Calibri" w:cs="Calibri"/>
          <w:szCs w:val="22"/>
        </w:rPr>
        <w:t>2</w:t>
      </w:r>
      <w:r w:rsidR="009434E8">
        <w:rPr>
          <w:rFonts w:ascii="Calibri" w:hAnsi="Calibri" w:cs="Calibri"/>
          <w:szCs w:val="22"/>
        </w:rPr>
        <w:t xml:space="preserve"> LS [1].</w:t>
      </w:r>
    </w:p>
    <w:p w:rsidR="007000D9" w:rsidRPr="00EF0049" w:rsidRDefault="007000D9" w:rsidP="008C1C7B">
      <w:pPr>
        <w:pStyle w:val="LGTdoc0"/>
        <w:spacing w:afterLines="0" w:after="0" w:line="240" w:lineRule="auto"/>
        <w:rPr>
          <w:rFonts w:ascii="Calibri" w:hAnsi="Calibri" w:cs="Calibri" w:hint="eastAsia"/>
          <w:szCs w:val="22"/>
        </w:rPr>
      </w:pPr>
      <w:bookmarkStart w:id="3" w:name="_GoBack"/>
      <w:bookmarkEnd w:id="3"/>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Default="00211ED2" w:rsidP="00211ED2">
      <w:pPr>
        <w:pStyle w:val="LGTdoc0"/>
        <w:spacing w:afterLines="0" w:after="0" w:line="240" w:lineRule="auto"/>
        <w:ind w:firstLine="425"/>
        <w:rPr>
          <w:rFonts w:ascii="Calibri" w:hAnsi="Calibri" w:cs="Calibri"/>
          <w:szCs w:val="22"/>
        </w:rPr>
      </w:pPr>
      <w:r>
        <w:rPr>
          <w:rFonts w:ascii="Calibri" w:hAnsi="Calibri" w:cs="Calibri" w:hint="eastAsia"/>
          <w:szCs w:val="22"/>
        </w:rPr>
        <w:t>The followi</w:t>
      </w:r>
      <w:r>
        <w:rPr>
          <w:rFonts w:ascii="Calibri" w:hAnsi="Calibri" w:cs="Calibri"/>
          <w:szCs w:val="22"/>
        </w:rPr>
        <w:t xml:space="preserve">ng two questions </w:t>
      </w:r>
      <w:r w:rsidR="00C17D15">
        <w:rPr>
          <w:rFonts w:ascii="Calibri" w:hAnsi="Calibri" w:cs="Calibri"/>
          <w:szCs w:val="22"/>
        </w:rPr>
        <w:t>regarding the combination</w:t>
      </w:r>
      <w:r w:rsidR="00B74A6C">
        <w:rPr>
          <w:rFonts w:ascii="Calibri" w:hAnsi="Calibri" w:cs="Calibri"/>
          <w:szCs w:val="22"/>
        </w:rPr>
        <w:t>s</w:t>
      </w:r>
      <w:r w:rsidR="00C17D15">
        <w:rPr>
          <w:rFonts w:ascii="Calibri" w:hAnsi="Calibri" w:cs="Calibri"/>
          <w:szCs w:val="22"/>
        </w:rPr>
        <w:t xml:space="preserve"> of </w:t>
      </w:r>
      <w:r w:rsidR="00C17D15" w:rsidRPr="00E02051">
        <w:rPr>
          <w:rFonts w:ascii="Calibri" w:hAnsi="Calibri" w:cs="Calibri"/>
          <w:szCs w:val="22"/>
          <w:lang w:val="en-US"/>
        </w:rPr>
        <w:t>co-channel co-existence</w:t>
      </w:r>
      <w:r w:rsidR="00C17D15">
        <w:rPr>
          <w:rFonts w:ascii="Calibri" w:hAnsi="Calibri" w:cs="Calibri"/>
          <w:szCs w:val="22"/>
        </w:rPr>
        <w:t xml:space="preserve"> and SL IUC/SL DRX </w:t>
      </w:r>
      <w:r>
        <w:rPr>
          <w:rFonts w:ascii="Calibri" w:hAnsi="Calibri" w:cs="Calibri"/>
          <w:szCs w:val="22"/>
        </w:rPr>
        <w:t xml:space="preserve">were asked for RAN1 to provide </w:t>
      </w:r>
      <w:r w:rsidRPr="00226EC9">
        <w:rPr>
          <w:rFonts w:ascii="Calibri" w:hAnsi="Calibri" w:cs="Calibri"/>
          <w:szCs w:val="22"/>
        </w:rPr>
        <w:t>answers</w:t>
      </w:r>
      <w:r>
        <w:rPr>
          <w:rFonts w:ascii="Calibri" w:hAnsi="Calibri" w:cs="Calibri"/>
          <w:szCs w:val="22"/>
        </w:rPr>
        <w:t xml:space="preserve"> in LS [1]:</w:t>
      </w:r>
    </w:p>
    <w:p w:rsidR="00066321" w:rsidRPr="00BF3A31" w:rsidRDefault="00066321" w:rsidP="00E22139">
      <w:pPr>
        <w:pStyle w:val="LGTdoc0"/>
        <w:spacing w:afterLines="0" w:after="0" w:line="240" w:lineRule="auto"/>
        <w:rPr>
          <w:rFonts w:ascii="Calibri" w:hAnsi="Calibri" w:cs="Calibri" w:hint="eastAsia"/>
          <w:szCs w:val="22"/>
        </w:rPr>
      </w:pPr>
    </w:p>
    <w:p w:rsidR="00E02051" w:rsidRPr="00C7158A" w:rsidRDefault="00E02051" w:rsidP="00E02051">
      <w:pPr>
        <w:pStyle w:val="LGTdoc0"/>
        <w:numPr>
          <w:ilvl w:val="0"/>
          <w:numId w:val="34"/>
        </w:numPr>
        <w:spacing w:afterLines="0" w:after="0" w:line="240" w:lineRule="auto"/>
        <w:ind w:left="800"/>
        <w:rPr>
          <w:rFonts w:ascii="Calibri" w:hAnsi="Calibri" w:cs="Calibri"/>
          <w:szCs w:val="22"/>
          <w:lang w:val="en-US"/>
        </w:rPr>
      </w:pPr>
      <w:r w:rsidRPr="00C7158A">
        <w:rPr>
          <w:rFonts w:ascii="Calibri" w:hAnsi="Calibri" w:cs="Calibri"/>
          <w:szCs w:val="22"/>
          <w:lang w:val="en-US"/>
        </w:rPr>
        <w:t xml:space="preserve">Question-1: Is the SL IUC supported in co-channel co-existence?  </w:t>
      </w:r>
    </w:p>
    <w:p w:rsidR="00E02051" w:rsidRPr="00C7158A" w:rsidRDefault="00E02051" w:rsidP="00E02051">
      <w:pPr>
        <w:pStyle w:val="LGTdoc0"/>
        <w:numPr>
          <w:ilvl w:val="0"/>
          <w:numId w:val="34"/>
        </w:numPr>
        <w:spacing w:afterLines="0" w:after="0" w:line="240" w:lineRule="auto"/>
        <w:ind w:left="800"/>
        <w:rPr>
          <w:rFonts w:ascii="Calibri" w:hAnsi="Calibri" w:cs="Calibri"/>
          <w:szCs w:val="22"/>
          <w:lang w:val="en-US"/>
        </w:rPr>
      </w:pPr>
      <w:r w:rsidRPr="00C7158A">
        <w:rPr>
          <w:rFonts w:ascii="Calibri" w:hAnsi="Calibri" w:cs="Calibri"/>
          <w:szCs w:val="22"/>
          <w:lang w:val="en-US"/>
        </w:rPr>
        <w:t>Question-2: Is the SL DRX supported in co-channel co-existence?</w:t>
      </w:r>
    </w:p>
    <w:p w:rsidR="00E02051" w:rsidRPr="00E02051" w:rsidRDefault="00E02051" w:rsidP="00E22139">
      <w:pPr>
        <w:pStyle w:val="LGTdoc0"/>
        <w:spacing w:afterLines="0" w:after="0" w:line="240" w:lineRule="auto"/>
        <w:rPr>
          <w:rFonts w:ascii="Calibri" w:hAnsi="Calibri" w:cs="Arial" w:hint="eastAsia"/>
          <w:szCs w:val="22"/>
        </w:rPr>
      </w:pPr>
    </w:p>
    <w:p w:rsidR="002E3C07" w:rsidRDefault="005A73DA" w:rsidP="00B255C7">
      <w:pPr>
        <w:pStyle w:val="LGTdoc0"/>
        <w:spacing w:afterLines="0" w:after="0" w:line="240" w:lineRule="auto"/>
        <w:ind w:firstLine="425"/>
        <w:rPr>
          <w:rFonts w:ascii="Calibri" w:hAnsi="Calibri" w:cs="Calibri"/>
          <w:szCs w:val="22"/>
        </w:rPr>
      </w:pPr>
      <w:r>
        <w:rPr>
          <w:rFonts w:ascii="Calibri" w:hAnsi="Calibri" w:cs="Calibri"/>
          <w:szCs w:val="22"/>
        </w:rPr>
        <w:t xml:space="preserve">One of the main design goals of the </w:t>
      </w:r>
      <w:r w:rsidR="004F33C0">
        <w:rPr>
          <w:rFonts w:ascii="Calibri" w:hAnsi="Calibri" w:cs="Calibri"/>
          <w:szCs w:val="22"/>
        </w:rPr>
        <w:t xml:space="preserve">feature </w:t>
      </w:r>
      <w:r w:rsidR="00820F57">
        <w:rPr>
          <w:rFonts w:ascii="Calibri" w:hAnsi="Calibri" w:cs="Calibri"/>
          <w:szCs w:val="22"/>
        </w:rPr>
        <w:t>of “</w:t>
      </w:r>
      <w:r w:rsidR="00820F57" w:rsidRPr="00820F57">
        <w:rPr>
          <w:rFonts w:ascii="Calibri" w:hAnsi="Calibri" w:cs="Calibri"/>
          <w:szCs w:val="22"/>
        </w:rPr>
        <w:t xml:space="preserve">Co-channel coexistence for LTE </w:t>
      </w:r>
      <w:r w:rsidR="004F33C0">
        <w:rPr>
          <w:rFonts w:ascii="Calibri" w:hAnsi="Calibri" w:cs="Calibri"/>
          <w:szCs w:val="22"/>
        </w:rPr>
        <w:t>SL</w:t>
      </w:r>
      <w:r w:rsidR="00820F57" w:rsidRPr="00820F57">
        <w:rPr>
          <w:rFonts w:ascii="Calibri" w:hAnsi="Calibri" w:cs="Calibri"/>
          <w:szCs w:val="22"/>
        </w:rPr>
        <w:t xml:space="preserve"> and NR </w:t>
      </w:r>
      <w:r w:rsidR="004F33C0">
        <w:rPr>
          <w:rFonts w:ascii="Calibri" w:hAnsi="Calibri" w:cs="Calibri"/>
          <w:szCs w:val="22"/>
        </w:rPr>
        <w:t>SL</w:t>
      </w:r>
      <w:r w:rsidR="00820F57">
        <w:rPr>
          <w:rFonts w:ascii="Calibri" w:hAnsi="Calibri" w:cs="Calibri"/>
          <w:szCs w:val="22"/>
        </w:rPr>
        <w:t xml:space="preserve">” is to minimize the impact </w:t>
      </w:r>
      <w:r w:rsidR="001253F5">
        <w:rPr>
          <w:rFonts w:ascii="Calibri" w:hAnsi="Calibri" w:cs="Calibri"/>
          <w:szCs w:val="22"/>
        </w:rPr>
        <w:t xml:space="preserve">of NR SL operation </w:t>
      </w:r>
      <w:r w:rsidR="00820F57">
        <w:rPr>
          <w:rFonts w:ascii="Calibri" w:hAnsi="Calibri" w:cs="Calibri"/>
          <w:szCs w:val="22"/>
        </w:rPr>
        <w:t xml:space="preserve">on </w:t>
      </w:r>
      <w:r w:rsidR="001253F5">
        <w:rPr>
          <w:rFonts w:ascii="Calibri" w:hAnsi="Calibri" w:cs="Calibri"/>
          <w:szCs w:val="22"/>
        </w:rPr>
        <w:t>LTE SL</w:t>
      </w:r>
      <w:r w:rsidR="00820F57">
        <w:rPr>
          <w:rFonts w:ascii="Calibri" w:hAnsi="Calibri" w:cs="Calibri"/>
          <w:szCs w:val="22"/>
        </w:rPr>
        <w:t xml:space="preserve"> performance.</w:t>
      </w:r>
      <w:r w:rsidR="004F33C0">
        <w:rPr>
          <w:rFonts w:ascii="Calibri" w:hAnsi="Calibri" w:cs="Calibri"/>
          <w:szCs w:val="22"/>
        </w:rPr>
        <w:t xml:space="preserve"> However, SL IUC and SL DRX tend to be somewhat opposite to this purpose</w:t>
      </w:r>
      <w:r w:rsidR="0011758C">
        <w:rPr>
          <w:rFonts w:ascii="Calibri" w:hAnsi="Calibri" w:cs="Calibri"/>
          <w:szCs w:val="22"/>
        </w:rPr>
        <w:t xml:space="preserve">, </w:t>
      </w:r>
      <w:r w:rsidR="0011758C">
        <w:rPr>
          <w:rFonts w:ascii="Calibri" w:hAnsi="Calibri" w:cs="Calibri"/>
          <w:szCs w:val="22"/>
        </w:rPr>
        <w:t xml:space="preserve">especially </w:t>
      </w:r>
      <w:r w:rsidR="00C457B9">
        <w:rPr>
          <w:rFonts w:ascii="Calibri" w:hAnsi="Calibri" w:cs="Calibri"/>
          <w:szCs w:val="22"/>
        </w:rPr>
        <w:t>when</w:t>
      </w:r>
      <w:r w:rsidR="0011758C">
        <w:rPr>
          <w:rFonts w:ascii="Calibri" w:hAnsi="Calibri" w:cs="Calibri"/>
          <w:szCs w:val="22"/>
        </w:rPr>
        <w:t xml:space="preserve"> </w:t>
      </w:r>
      <w:r w:rsidR="00C457B9">
        <w:rPr>
          <w:rFonts w:ascii="Calibri" w:hAnsi="Calibri" w:cs="Calibri"/>
          <w:szCs w:val="22"/>
        </w:rPr>
        <w:t xml:space="preserve">the </w:t>
      </w:r>
      <w:r w:rsidR="0011758C">
        <w:rPr>
          <w:rFonts w:ascii="Calibri" w:hAnsi="Calibri" w:cs="Calibri"/>
          <w:szCs w:val="22"/>
        </w:rPr>
        <w:t>dynamic resource pool sharing</w:t>
      </w:r>
      <w:r w:rsidR="00C457B9">
        <w:rPr>
          <w:rFonts w:ascii="Calibri" w:hAnsi="Calibri" w:cs="Calibri"/>
          <w:szCs w:val="22"/>
        </w:rPr>
        <w:t xml:space="preserve"> is applied</w:t>
      </w:r>
      <w:r w:rsidR="0011758C">
        <w:rPr>
          <w:rFonts w:ascii="Calibri" w:hAnsi="Calibri" w:cs="Calibri"/>
          <w:szCs w:val="22"/>
        </w:rPr>
        <w:t>.</w:t>
      </w:r>
      <w:r w:rsidR="006A391F">
        <w:rPr>
          <w:rFonts w:ascii="Calibri" w:hAnsi="Calibri" w:cs="Calibri"/>
          <w:szCs w:val="22"/>
        </w:rPr>
        <w:t xml:space="preserve"> </w:t>
      </w:r>
      <w:r w:rsidR="00DF1CFF">
        <w:rPr>
          <w:rFonts w:ascii="Calibri" w:hAnsi="Calibri" w:cs="Calibri"/>
          <w:szCs w:val="22"/>
        </w:rPr>
        <w:t>To be specific</w:t>
      </w:r>
      <w:r w:rsidR="006A391F">
        <w:rPr>
          <w:rFonts w:ascii="Calibri" w:hAnsi="Calibri" w:cs="Calibri"/>
          <w:szCs w:val="22"/>
        </w:rPr>
        <w:t xml:space="preserve">, </w:t>
      </w:r>
      <w:r w:rsidR="00DF1CFF">
        <w:rPr>
          <w:rFonts w:ascii="Calibri" w:hAnsi="Calibri" w:cs="Calibri"/>
          <w:szCs w:val="22"/>
        </w:rPr>
        <w:t>for SL</w:t>
      </w:r>
      <w:r w:rsidR="006A391F">
        <w:rPr>
          <w:rFonts w:ascii="Calibri" w:hAnsi="Calibri" w:cs="Calibri"/>
          <w:szCs w:val="22"/>
        </w:rPr>
        <w:t xml:space="preserve"> IUC Scheme 2, </w:t>
      </w:r>
      <w:r w:rsidR="007C6A63">
        <w:rPr>
          <w:rFonts w:ascii="Calibri" w:hAnsi="Calibri" w:cs="Calibri"/>
          <w:szCs w:val="22"/>
        </w:rPr>
        <w:t xml:space="preserve">when </w:t>
      </w:r>
      <w:r w:rsidR="006A391F">
        <w:rPr>
          <w:rFonts w:ascii="Calibri" w:hAnsi="Calibri" w:cs="Calibri"/>
          <w:szCs w:val="22"/>
        </w:rPr>
        <w:t xml:space="preserve">UE A transmits PSFCH </w:t>
      </w:r>
      <w:r w:rsidR="007C6A63">
        <w:rPr>
          <w:rFonts w:ascii="Calibri" w:hAnsi="Calibri" w:cs="Calibri"/>
          <w:szCs w:val="22"/>
        </w:rPr>
        <w:t>to inform UE B that a collision will occur on the resource(s) reserved by UE B, its PSFCH resource is not determined based on UE A’s sensing operation.</w:t>
      </w:r>
      <w:r w:rsidR="004A682B">
        <w:rPr>
          <w:rFonts w:ascii="Calibri" w:hAnsi="Calibri" w:cs="Calibri"/>
          <w:szCs w:val="22"/>
        </w:rPr>
        <w:t xml:space="preserve"> </w:t>
      </w:r>
      <w:r w:rsidR="004841EE">
        <w:rPr>
          <w:rFonts w:ascii="Calibri" w:hAnsi="Calibri" w:cs="Calibri"/>
          <w:szCs w:val="22"/>
        </w:rPr>
        <w:t>T</w:t>
      </w:r>
      <w:r w:rsidR="003D6599">
        <w:rPr>
          <w:rFonts w:ascii="Calibri" w:hAnsi="Calibri" w:cs="Calibri"/>
          <w:szCs w:val="22"/>
        </w:rPr>
        <w:t>his could make AGC problem</w:t>
      </w:r>
      <w:r w:rsidR="001D05C2">
        <w:rPr>
          <w:rFonts w:ascii="Calibri" w:hAnsi="Calibri" w:cs="Calibri"/>
          <w:szCs w:val="22"/>
        </w:rPr>
        <w:t>s</w:t>
      </w:r>
      <w:r w:rsidR="003D6599">
        <w:rPr>
          <w:rFonts w:ascii="Calibri" w:hAnsi="Calibri" w:cs="Calibri"/>
          <w:szCs w:val="22"/>
        </w:rPr>
        <w:t xml:space="preserve"> more severe when LTE SL UE performs reception operation</w:t>
      </w:r>
      <w:r w:rsidR="001D05C2">
        <w:rPr>
          <w:rFonts w:ascii="Calibri" w:hAnsi="Calibri" w:cs="Calibri"/>
          <w:szCs w:val="22"/>
        </w:rPr>
        <w:t>s</w:t>
      </w:r>
      <w:r w:rsidR="00527BB1">
        <w:rPr>
          <w:rFonts w:ascii="Calibri" w:hAnsi="Calibri" w:cs="Calibri"/>
          <w:szCs w:val="22"/>
        </w:rPr>
        <w:t>. To alleviate this problem, SL IUC Scheme 2 could be made to operate only under</w:t>
      </w:r>
      <w:r w:rsidR="00956C4B">
        <w:rPr>
          <w:rFonts w:ascii="Calibri" w:hAnsi="Calibri" w:cs="Calibri"/>
          <w:szCs w:val="22"/>
        </w:rPr>
        <w:t xml:space="preserve"> the</w:t>
      </w:r>
      <w:r w:rsidR="00527BB1">
        <w:rPr>
          <w:rFonts w:ascii="Calibri" w:hAnsi="Calibri" w:cs="Calibri"/>
          <w:szCs w:val="22"/>
        </w:rPr>
        <w:t xml:space="preserve"> </w:t>
      </w:r>
      <w:r w:rsidR="00527BB1" w:rsidRPr="00527BB1">
        <w:rPr>
          <w:rFonts w:ascii="Calibri" w:hAnsi="Calibri" w:cs="Calibri"/>
          <w:szCs w:val="22"/>
        </w:rPr>
        <w:t>TDM-based semi-static resource pool partitioning</w:t>
      </w:r>
      <w:r w:rsidR="00527BB1">
        <w:rPr>
          <w:rFonts w:ascii="Calibri" w:hAnsi="Calibri" w:cs="Calibri"/>
          <w:szCs w:val="22"/>
        </w:rPr>
        <w:t xml:space="preserve"> by considering the resource pool-specific (pre)configuration of SL IUC operation. </w:t>
      </w:r>
      <w:r w:rsidR="00B64BE2">
        <w:rPr>
          <w:rFonts w:ascii="Calibri" w:hAnsi="Calibri" w:cs="Calibri"/>
          <w:szCs w:val="22"/>
        </w:rPr>
        <w:t xml:space="preserve">We believe that this approach is too restrictive. </w:t>
      </w:r>
      <w:r w:rsidR="00BC0440">
        <w:rPr>
          <w:rFonts w:ascii="Calibri" w:hAnsi="Calibri" w:cs="Calibri"/>
          <w:szCs w:val="22"/>
        </w:rPr>
        <w:t>F</w:t>
      </w:r>
      <w:r w:rsidR="004C0A7C">
        <w:rPr>
          <w:rFonts w:ascii="Calibri" w:hAnsi="Calibri" w:cs="Calibri"/>
          <w:szCs w:val="22"/>
        </w:rPr>
        <w:t xml:space="preserve">rom the perspective of a UE that has both NR SL module and LTE SL module, it is questionable </w:t>
      </w:r>
      <w:r w:rsidR="00B255C7">
        <w:rPr>
          <w:rFonts w:ascii="Calibri" w:hAnsi="Calibri" w:cs="Calibri"/>
          <w:szCs w:val="22"/>
        </w:rPr>
        <w:t xml:space="preserve">how much </w:t>
      </w:r>
      <w:r w:rsidR="004C0A7C">
        <w:rPr>
          <w:rFonts w:ascii="Calibri" w:hAnsi="Calibri" w:cs="Calibri"/>
          <w:szCs w:val="22"/>
        </w:rPr>
        <w:t xml:space="preserve">the overall power consumption of the UE </w:t>
      </w:r>
      <w:r w:rsidR="00B255C7">
        <w:rPr>
          <w:rFonts w:ascii="Calibri" w:hAnsi="Calibri" w:cs="Calibri"/>
          <w:szCs w:val="22"/>
        </w:rPr>
        <w:t xml:space="preserve">can be reduced if only NR SL module </w:t>
      </w:r>
      <w:r w:rsidR="004C0A7C">
        <w:rPr>
          <w:rFonts w:ascii="Calibri" w:hAnsi="Calibri" w:cs="Calibri"/>
          <w:szCs w:val="22"/>
        </w:rPr>
        <w:t>perform</w:t>
      </w:r>
      <w:r w:rsidR="00B255C7">
        <w:rPr>
          <w:rFonts w:ascii="Calibri" w:hAnsi="Calibri" w:cs="Calibri"/>
          <w:szCs w:val="22"/>
        </w:rPr>
        <w:t>s SL DRX operation.</w:t>
      </w:r>
      <w:r w:rsidR="00FE736B">
        <w:rPr>
          <w:rFonts w:ascii="Calibri" w:hAnsi="Calibri" w:cs="Calibri"/>
          <w:szCs w:val="22"/>
        </w:rPr>
        <w:t xml:space="preserve"> Also, when NR SL module performs SL DRX operation, the accuracy of the </w:t>
      </w:r>
      <w:r w:rsidR="00BC0440">
        <w:rPr>
          <w:rFonts w:ascii="Calibri" w:hAnsi="Calibri" w:cs="Calibri"/>
          <w:szCs w:val="22"/>
        </w:rPr>
        <w:t xml:space="preserve">NR SL </w:t>
      </w:r>
      <w:r w:rsidR="00FE736B">
        <w:rPr>
          <w:rFonts w:ascii="Calibri" w:hAnsi="Calibri" w:cs="Calibri"/>
          <w:szCs w:val="22"/>
        </w:rPr>
        <w:t>sensing result becomes low, which increases the probability of transmission resource collision with other UEs.</w:t>
      </w:r>
      <w:r w:rsidR="00BC0440">
        <w:rPr>
          <w:rFonts w:ascii="Calibri" w:hAnsi="Calibri" w:cs="Calibri"/>
          <w:szCs w:val="22"/>
        </w:rPr>
        <w:t xml:space="preserve"> As a result, </w:t>
      </w:r>
      <w:r w:rsidR="00271EC4">
        <w:rPr>
          <w:rFonts w:ascii="Calibri" w:hAnsi="Calibri" w:cs="Calibri"/>
          <w:szCs w:val="22"/>
        </w:rPr>
        <w:t>it</w:t>
      </w:r>
      <w:r w:rsidR="00BC0440">
        <w:rPr>
          <w:rFonts w:ascii="Calibri" w:hAnsi="Calibri" w:cs="Calibri"/>
          <w:szCs w:val="22"/>
        </w:rPr>
        <w:t xml:space="preserve"> causes </w:t>
      </w:r>
      <w:r w:rsidR="00271EC4">
        <w:rPr>
          <w:rFonts w:ascii="Calibri" w:hAnsi="Calibri" w:cs="Calibri"/>
          <w:szCs w:val="22"/>
        </w:rPr>
        <w:t>relatively more NR SL retransmissions to occur and also increases the interference level of the resource pool where LTE SL UE and NR SL UE coexist</w:t>
      </w:r>
      <w:r w:rsidR="003D5B58">
        <w:rPr>
          <w:rFonts w:ascii="Calibri" w:hAnsi="Calibri" w:cs="Calibri"/>
          <w:szCs w:val="22"/>
        </w:rPr>
        <w:t xml:space="preserve"> (i.e., leading to LTE SL performance degradation).</w:t>
      </w:r>
      <w:r w:rsidR="004A1FB3">
        <w:rPr>
          <w:rFonts w:ascii="Calibri" w:hAnsi="Calibri" w:cs="Calibri"/>
          <w:szCs w:val="22"/>
        </w:rPr>
        <w:t xml:space="preserve"> </w:t>
      </w:r>
    </w:p>
    <w:p w:rsidR="006A391F" w:rsidRPr="00271EC4" w:rsidRDefault="006A391F" w:rsidP="00E22139">
      <w:pPr>
        <w:pStyle w:val="LGTdoc0"/>
        <w:spacing w:afterLines="0" w:after="0" w:line="240" w:lineRule="auto"/>
        <w:rPr>
          <w:rFonts w:ascii="Calibri" w:hAnsi="Calibri" w:cs="Calibri" w:hint="eastAsia"/>
          <w:szCs w:val="22"/>
        </w:rPr>
      </w:pPr>
    </w:p>
    <w:p w:rsidR="00F226D0" w:rsidRDefault="00F226D0" w:rsidP="00C0786C">
      <w:pPr>
        <w:pStyle w:val="LGTdoc0"/>
        <w:spacing w:afterLines="0" w:after="0" w:line="240" w:lineRule="auto"/>
        <w:rPr>
          <w:rFonts w:ascii="Calibri" w:hAnsi="Calibri" w:cs="Calibri"/>
          <w:b/>
          <w:i/>
          <w:szCs w:val="22"/>
        </w:rPr>
      </w:pPr>
      <w:r>
        <w:rPr>
          <w:rFonts w:ascii="Calibri" w:hAnsi="Calibri" w:cs="Calibri"/>
          <w:b/>
          <w:i/>
          <w:szCs w:val="22"/>
        </w:rPr>
        <w:t>Observation</w:t>
      </w:r>
      <w:r w:rsidR="00400997">
        <w:rPr>
          <w:rFonts w:ascii="Calibri" w:hAnsi="Calibri" w:cs="Calibri"/>
          <w:b/>
          <w:i/>
          <w:szCs w:val="22"/>
        </w:rPr>
        <w:t xml:space="preserve"> 1</w:t>
      </w:r>
      <w:r w:rsidR="00C0786C" w:rsidRPr="005E6EFC">
        <w:rPr>
          <w:rFonts w:ascii="Calibri" w:hAnsi="Calibri" w:cs="Calibri"/>
          <w:b/>
          <w:i/>
          <w:szCs w:val="22"/>
        </w:rPr>
        <w:t>:</w:t>
      </w:r>
      <w:r w:rsidR="00C0786C">
        <w:rPr>
          <w:rFonts w:ascii="Calibri" w:hAnsi="Calibri" w:cs="Calibri"/>
          <w:b/>
          <w:i/>
          <w:szCs w:val="22"/>
        </w:rPr>
        <w:t xml:space="preserve"> </w:t>
      </w:r>
      <w:r w:rsidR="009C0C2D">
        <w:rPr>
          <w:rFonts w:ascii="Calibri" w:hAnsi="Calibri" w:cs="Calibri"/>
          <w:b/>
          <w:i/>
          <w:szCs w:val="22"/>
        </w:rPr>
        <w:t xml:space="preserve">The following aspects should be taken into consideration when RAN1 decides whether to support the combination of </w:t>
      </w:r>
      <w:r w:rsidR="009C0C2D" w:rsidRPr="009C0C2D">
        <w:rPr>
          <w:rFonts w:ascii="Calibri" w:hAnsi="Calibri" w:cs="Calibri"/>
          <w:b/>
          <w:i/>
          <w:szCs w:val="22"/>
        </w:rPr>
        <w:t>co-channel co-existence</w:t>
      </w:r>
      <w:r w:rsidR="009C0C2D">
        <w:rPr>
          <w:rFonts w:ascii="Calibri" w:hAnsi="Calibri" w:cs="Calibri"/>
          <w:b/>
          <w:i/>
          <w:szCs w:val="22"/>
        </w:rPr>
        <w:t xml:space="preserve"> and SL IUC or the combination of </w:t>
      </w:r>
      <w:r w:rsidR="009C0C2D" w:rsidRPr="009C0C2D">
        <w:rPr>
          <w:rFonts w:ascii="Calibri" w:hAnsi="Calibri" w:cs="Calibri"/>
          <w:b/>
          <w:i/>
          <w:szCs w:val="22"/>
        </w:rPr>
        <w:t>co-channel co-existence</w:t>
      </w:r>
      <w:r w:rsidR="00382811">
        <w:rPr>
          <w:rFonts w:ascii="Calibri" w:hAnsi="Calibri" w:cs="Calibri"/>
          <w:b/>
          <w:i/>
          <w:szCs w:val="22"/>
        </w:rPr>
        <w:t xml:space="preserve"> and SL DRX:</w:t>
      </w:r>
    </w:p>
    <w:p w:rsidR="002B252A" w:rsidRDefault="002B252A" w:rsidP="002B252A">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For </w:t>
      </w:r>
      <w:r w:rsidRPr="002B252A">
        <w:rPr>
          <w:rFonts w:ascii="Calibri" w:hAnsi="Calibri" w:cs="Calibri"/>
          <w:b/>
          <w:i/>
          <w:szCs w:val="22"/>
        </w:rPr>
        <w:t>SL IUC Scheme 2, when UE A transmits PSFCH to inform UE B that a collision will occur on the resource(s) reserved by UE B, its PSFCH resource is not determined based on UE A’s sensing operation. This could make AGC problems more severe when LTE SL UE performs reception operations</w:t>
      </w:r>
      <w:r>
        <w:rPr>
          <w:rFonts w:ascii="Calibri" w:hAnsi="Calibri" w:cs="Calibri"/>
          <w:b/>
          <w:i/>
          <w:szCs w:val="22"/>
        </w:rPr>
        <w:t>.</w:t>
      </w:r>
    </w:p>
    <w:p w:rsidR="002B252A" w:rsidRPr="00F94138" w:rsidRDefault="002B252A" w:rsidP="002B252A">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W</w:t>
      </w:r>
      <w:r w:rsidRPr="002B252A">
        <w:rPr>
          <w:rFonts w:ascii="Calibri" w:hAnsi="Calibri" w:cs="Calibri"/>
          <w:b/>
          <w:i/>
          <w:szCs w:val="22"/>
        </w:rPr>
        <w:t>hen NR SL module performs SL DRX operation, the accuracy of the NR SL sensing result becomes low, which increases the probability of transmission resource collision with other UEs. As a result, it causes relatively more NR SL retransmissions to occur and also increases the interference level of the resource pool where LTE SL UE and NR SL UE coexist (i.e., leading to LTE SL performance degradation)</w:t>
      </w:r>
      <w:r w:rsidR="00BC35C4">
        <w:rPr>
          <w:rFonts w:ascii="Calibri" w:hAnsi="Calibri" w:cs="Calibri"/>
          <w:b/>
          <w:i/>
          <w:szCs w:val="22"/>
        </w:rPr>
        <w:t>.</w:t>
      </w:r>
    </w:p>
    <w:p w:rsidR="00F94138" w:rsidRDefault="00F94138" w:rsidP="00374784">
      <w:pPr>
        <w:pStyle w:val="LGTdoc0"/>
        <w:spacing w:afterLines="0" w:after="0" w:line="240" w:lineRule="auto"/>
        <w:rPr>
          <w:rFonts w:ascii="Calibri" w:hAnsi="Calibri" w:cs="Calibri"/>
          <w:szCs w:val="22"/>
        </w:rPr>
      </w:pPr>
    </w:p>
    <w:p w:rsidR="00772F60" w:rsidRDefault="00772F60" w:rsidP="002330CA">
      <w:pPr>
        <w:pStyle w:val="LGTdoc0"/>
        <w:spacing w:afterLines="0" w:after="0" w:line="240" w:lineRule="auto"/>
        <w:ind w:firstLine="425"/>
        <w:rPr>
          <w:rFonts w:ascii="Calibri" w:hAnsi="Calibri" w:cs="Calibri" w:hint="eastAsia"/>
          <w:szCs w:val="22"/>
        </w:rPr>
      </w:pPr>
      <w:r>
        <w:rPr>
          <w:rFonts w:ascii="Calibri" w:hAnsi="Calibri" w:cs="Calibri"/>
          <w:szCs w:val="22"/>
        </w:rPr>
        <w:lastRenderedPageBreak/>
        <w:t xml:space="preserve">Regarding </w:t>
      </w:r>
      <w:r>
        <w:rPr>
          <w:rFonts w:ascii="Calibri" w:hAnsi="Calibri" w:cs="Calibri" w:hint="eastAsia"/>
          <w:szCs w:val="22"/>
        </w:rPr>
        <w:t>RAN2</w:t>
      </w:r>
      <w:r>
        <w:rPr>
          <w:rFonts w:ascii="Calibri" w:hAnsi="Calibri" w:cs="Calibri"/>
          <w:szCs w:val="22"/>
        </w:rPr>
        <w:t xml:space="preserve">’s plan and question below, from RAN1’s perspective, it seems that no critical problems will occur or additional specification work will not be necessary even if SL IUC and SL DRX are operated simultaneously by </w:t>
      </w:r>
      <w:r w:rsidR="000C0750">
        <w:rPr>
          <w:rFonts w:ascii="Calibri" w:hAnsi="Calibri" w:cs="Calibri"/>
          <w:szCs w:val="22"/>
        </w:rPr>
        <w:t>a</w:t>
      </w:r>
      <w:r>
        <w:rPr>
          <w:rFonts w:ascii="Calibri" w:hAnsi="Calibri" w:cs="Calibri"/>
          <w:szCs w:val="22"/>
        </w:rPr>
        <w:t xml:space="preserve"> </w:t>
      </w:r>
      <w:r w:rsidR="000C0750">
        <w:rPr>
          <w:rFonts w:ascii="Calibri" w:hAnsi="Calibri" w:cs="Calibri"/>
          <w:szCs w:val="22"/>
        </w:rPr>
        <w:t xml:space="preserve">Rel.17 </w:t>
      </w:r>
      <w:r>
        <w:rPr>
          <w:rFonts w:ascii="Calibri" w:hAnsi="Calibri" w:cs="Calibri"/>
          <w:szCs w:val="22"/>
        </w:rPr>
        <w:t xml:space="preserve">UE. </w:t>
      </w:r>
      <w:r w:rsidR="006A5265">
        <w:rPr>
          <w:rFonts w:ascii="Calibri" w:hAnsi="Calibri" w:cs="Calibri"/>
          <w:szCs w:val="22"/>
        </w:rPr>
        <w:t>Also, a</w:t>
      </w:r>
      <w:r w:rsidR="00166F9E">
        <w:rPr>
          <w:rFonts w:ascii="Calibri" w:hAnsi="Calibri" w:cs="Calibri"/>
          <w:szCs w:val="22"/>
        </w:rPr>
        <w:t>s described in [2], we think that this combination of behaviour could be supported with a simple change to the MAC specification.</w:t>
      </w:r>
    </w:p>
    <w:p w:rsidR="00772F60" w:rsidRPr="00166F9E" w:rsidRDefault="00772F60" w:rsidP="00E22139">
      <w:pPr>
        <w:pStyle w:val="LGTdoc0"/>
        <w:spacing w:afterLines="0" w:after="0" w:line="240" w:lineRule="auto"/>
        <w:rPr>
          <w:rFonts w:ascii="Calibri" w:hAnsi="Calibri" w:cs="Calibri" w:hint="eastAsia"/>
          <w:szCs w:val="22"/>
        </w:rPr>
      </w:pPr>
    </w:p>
    <w:p w:rsidR="00772F60" w:rsidRPr="00C7158A" w:rsidRDefault="00772F60" w:rsidP="00772F60">
      <w:pPr>
        <w:pStyle w:val="LGTdoc0"/>
        <w:numPr>
          <w:ilvl w:val="0"/>
          <w:numId w:val="34"/>
        </w:numPr>
        <w:spacing w:afterLines="0" w:after="0" w:line="240" w:lineRule="auto"/>
        <w:ind w:left="800"/>
        <w:rPr>
          <w:rFonts w:ascii="Calibri" w:hAnsi="Calibri" w:cs="Calibri"/>
          <w:szCs w:val="22"/>
          <w:lang w:val="en-US"/>
        </w:rPr>
      </w:pPr>
      <w:r w:rsidRPr="00C7158A">
        <w:rPr>
          <w:rFonts w:ascii="Calibri" w:hAnsi="Calibri" w:cs="Calibri"/>
          <w:szCs w:val="22"/>
          <w:lang w:val="en-US"/>
        </w:rPr>
        <w:t xml:space="preserve">RAN2 is discussing whether both SL IUC and SL DRX can be used by a Sidelink UE simultaneously from Rel-17 with simple text changes in MAC spec, i.e., RAN2 will not support it if it requires any functional change or modification. </w:t>
      </w:r>
      <w:r w:rsidRPr="00C7158A">
        <w:rPr>
          <w:rFonts w:ascii="Calibri" w:hAnsi="Calibri" w:cs="Calibri"/>
          <w:szCs w:val="22"/>
          <w:lang w:val="en-US"/>
        </w:rPr>
        <w:t>RAN1 can take the RAN2 status into consideration on the potential work for the co-existence of SL IUC and SL DRX from Rel-17 and feedback if any concern.</w:t>
      </w:r>
    </w:p>
    <w:p w:rsidR="00400997" w:rsidRDefault="00400997" w:rsidP="00400997">
      <w:pPr>
        <w:pStyle w:val="LGTdoc0"/>
        <w:spacing w:afterLines="0" w:after="0" w:line="240" w:lineRule="auto"/>
        <w:rPr>
          <w:rFonts w:ascii="Calibri" w:hAnsi="Calibri" w:cs="Calibri"/>
          <w:b/>
          <w:i/>
          <w:szCs w:val="22"/>
        </w:rPr>
      </w:pPr>
    </w:p>
    <w:p w:rsidR="00400997" w:rsidRDefault="00400997" w:rsidP="00400997">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w:t>
      </w:r>
      <w:r w:rsidR="00B20664">
        <w:rPr>
          <w:rFonts w:ascii="Calibri" w:hAnsi="Calibri" w:cs="Calibri"/>
          <w:b/>
          <w:i/>
          <w:szCs w:val="22"/>
        </w:rPr>
        <w:t>F</w:t>
      </w:r>
      <w:r w:rsidR="00B20664" w:rsidRPr="00B20664">
        <w:rPr>
          <w:rFonts w:ascii="Calibri" w:hAnsi="Calibri" w:cs="Calibri"/>
          <w:b/>
          <w:i/>
          <w:szCs w:val="22"/>
        </w:rPr>
        <w:t>rom RAN1’s perspective, it seems that no critical problems will occur or additional specification work will not be necessary even if SL IUC and SL DRX are operated simultaneously by a Rel.17 UE.</w:t>
      </w:r>
    </w:p>
    <w:p w:rsidR="00406B37" w:rsidRPr="00406B37" w:rsidRDefault="00406B37" w:rsidP="00406B37">
      <w:pPr>
        <w:pStyle w:val="Doc-text2"/>
        <w:ind w:left="0" w:firstLine="0"/>
        <w:rPr>
          <w:rFonts w:eastAsia="DengXian" w:hint="eastAsia"/>
          <w:lang w:eastAsia="zh-CN"/>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54671B">
        <w:rPr>
          <w:rFonts w:ascii="Calibri" w:hAnsi="Calibri" w:cs="Calibri"/>
          <w:szCs w:val="22"/>
        </w:rPr>
        <w:t>2</w:t>
      </w:r>
      <w:r>
        <w:rPr>
          <w:rFonts w:ascii="Calibri" w:hAnsi="Calibri" w:cs="Calibri"/>
          <w:szCs w:val="22"/>
        </w:rPr>
        <w:t>’s question</w:t>
      </w:r>
      <w:r w:rsidR="0054671B">
        <w:rPr>
          <w:rFonts w:ascii="Calibri" w:hAnsi="Calibri" w:cs="Calibri"/>
          <w:szCs w:val="22"/>
        </w:rPr>
        <w:t>s</w:t>
      </w:r>
      <w:r>
        <w:rPr>
          <w:rFonts w:ascii="Calibri" w:hAnsi="Calibri" w:cs="Calibri"/>
          <w:szCs w:val="22"/>
        </w:rPr>
        <w:t xml:space="preserve"> in LS [1].</w:t>
      </w:r>
      <w:r w:rsidRPr="0038253B">
        <w:rPr>
          <w:rFonts w:ascii="Calibri" w:hAnsi="Calibri" w:cs="Calibri"/>
          <w:szCs w:val="22"/>
        </w:rPr>
        <w:t xml:space="preserve"> The following </w:t>
      </w:r>
      <w:r w:rsidR="0054671B">
        <w:rPr>
          <w:rFonts w:ascii="Calibri" w:hAnsi="Calibri" w:cs="Calibri"/>
          <w:szCs w:val="22"/>
        </w:rPr>
        <w:t>observations</w:t>
      </w:r>
      <w:r w:rsidRPr="0038253B">
        <w:rPr>
          <w:rFonts w:ascii="Calibri" w:hAnsi="Calibri" w:cs="Calibri"/>
          <w:szCs w:val="22"/>
        </w:rPr>
        <w:t xml:space="preserve"> </w:t>
      </w:r>
      <w:r w:rsidR="0054671B">
        <w:rPr>
          <w:rFonts w:ascii="Calibri" w:hAnsi="Calibri" w:cs="Calibri"/>
          <w:szCs w:val="22"/>
        </w:rPr>
        <w:t>are</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67177D" w:rsidRDefault="0067177D" w:rsidP="0067177D">
      <w:pPr>
        <w:pStyle w:val="LGTdoc0"/>
        <w:spacing w:afterLines="0" w:after="0" w:line="240" w:lineRule="auto"/>
        <w:rPr>
          <w:rFonts w:ascii="Calibri" w:hAnsi="Calibri" w:cs="Calibri"/>
          <w:b/>
          <w:i/>
          <w:szCs w:val="22"/>
        </w:rPr>
      </w:pPr>
      <w:r>
        <w:rPr>
          <w:rFonts w:ascii="Calibri" w:hAnsi="Calibri" w:cs="Calibri"/>
          <w:b/>
          <w:i/>
          <w:szCs w:val="22"/>
        </w:rPr>
        <w:t>Observation 1</w:t>
      </w:r>
      <w:r w:rsidRPr="005E6EFC">
        <w:rPr>
          <w:rFonts w:ascii="Calibri" w:hAnsi="Calibri" w:cs="Calibri"/>
          <w:b/>
          <w:i/>
          <w:szCs w:val="22"/>
        </w:rPr>
        <w:t>:</w:t>
      </w:r>
      <w:r>
        <w:rPr>
          <w:rFonts w:ascii="Calibri" w:hAnsi="Calibri" w:cs="Calibri"/>
          <w:b/>
          <w:i/>
          <w:szCs w:val="22"/>
        </w:rPr>
        <w:t xml:space="preserve"> The following aspects should be taken into consideration when RAN1 decides whether to support the combination of </w:t>
      </w:r>
      <w:r w:rsidRPr="009C0C2D">
        <w:rPr>
          <w:rFonts w:ascii="Calibri" w:hAnsi="Calibri" w:cs="Calibri"/>
          <w:b/>
          <w:i/>
          <w:szCs w:val="22"/>
        </w:rPr>
        <w:t>co-channel co-existence</w:t>
      </w:r>
      <w:r>
        <w:rPr>
          <w:rFonts w:ascii="Calibri" w:hAnsi="Calibri" w:cs="Calibri"/>
          <w:b/>
          <w:i/>
          <w:szCs w:val="22"/>
        </w:rPr>
        <w:t xml:space="preserve"> and SL IUC or the combination of </w:t>
      </w:r>
      <w:r w:rsidRPr="009C0C2D">
        <w:rPr>
          <w:rFonts w:ascii="Calibri" w:hAnsi="Calibri" w:cs="Calibri"/>
          <w:b/>
          <w:i/>
          <w:szCs w:val="22"/>
        </w:rPr>
        <w:t>co-channel co-existence</w:t>
      </w:r>
      <w:r>
        <w:rPr>
          <w:rFonts w:ascii="Calibri" w:hAnsi="Calibri" w:cs="Calibri"/>
          <w:b/>
          <w:i/>
          <w:szCs w:val="22"/>
        </w:rPr>
        <w:t xml:space="preserve"> and SL DRX:</w:t>
      </w:r>
    </w:p>
    <w:p w:rsidR="0067177D" w:rsidRDefault="0067177D" w:rsidP="0067177D">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For </w:t>
      </w:r>
      <w:r w:rsidRPr="002B252A">
        <w:rPr>
          <w:rFonts w:ascii="Calibri" w:hAnsi="Calibri" w:cs="Calibri"/>
          <w:b/>
          <w:i/>
          <w:szCs w:val="22"/>
        </w:rPr>
        <w:t>SL IUC Scheme 2, when UE A transmits PSFCH to inform UE B that a collision will occur on the resource(s) reserved by UE B, its PSFCH resource is not determined based on UE A’s sensing operation. This could make AGC problems more severe when LTE SL UE performs reception operations</w:t>
      </w:r>
      <w:r>
        <w:rPr>
          <w:rFonts w:ascii="Calibri" w:hAnsi="Calibri" w:cs="Calibri"/>
          <w:b/>
          <w:i/>
          <w:szCs w:val="22"/>
        </w:rPr>
        <w:t>.</w:t>
      </w:r>
    </w:p>
    <w:p w:rsidR="0067177D" w:rsidRPr="00F94138" w:rsidRDefault="0067177D" w:rsidP="0067177D">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W</w:t>
      </w:r>
      <w:r w:rsidRPr="002B252A">
        <w:rPr>
          <w:rFonts w:ascii="Calibri" w:hAnsi="Calibri" w:cs="Calibri"/>
          <w:b/>
          <w:i/>
          <w:szCs w:val="22"/>
        </w:rPr>
        <w:t>hen NR SL module performs SL DRX operation, the accuracy of the NR SL sensing result becomes low, which increases the probability of transmission resource collision with other UEs. As a result, it causes relatively more NR SL retransmissions to occur and also increases the interference level of the resource pool where LTE SL UE and NR SL UE coexist (i.e., leading to LTE SL performance degradation)</w:t>
      </w:r>
      <w:r>
        <w:rPr>
          <w:rFonts w:ascii="Calibri" w:hAnsi="Calibri" w:cs="Calibri"/>
          <w:b/>
          <w:i/>
          <w:szCs w:val="22"/>
        </w:rPr>
        <w:t>.</w:t>
      </w:r>
    </w:p>
    <w:p w:rsidR="007000D9" w:rsidRDefault="007000D9" w:rsidP="00E22139">
      <w:pPr>
        <w:pStyle w:val="LGTdoc0"/>
        <w:spacing w:afterLines="0" w:after="0" w:line="240" w:lineRule="auto"/>
        <w:rPr>
          <w:rFonts w:ascii="Calibri" w:hAnsi="Calibri" w:cs="Calibri"/>
          <w:b/>
          <w:i/>
          <w:szCs w:val="22"/>
        </w:rPr>
      </w:pPr>
    </w:p>
    <w:p w:rsidR="0067177D" w:rsidRDefault="0067177D" w:rsidP="0067177D">
      <w:pPr>
        <w:pStyle w:val="LGTdoc0"/>
        <w:spacing w:afterLines="0" w:after="0" w:line="240" w:lineRule="auto"/>
        <w:rPr>
          <w:rFonts w:ascii="Calibri" w:hAnsi="Calibri" w:cs="Calibri"/>
          <w:b/>
          <w:i/>
          <w:szCs w:val="22"/>
        </w:rPr>
      </w:pPr>
      <w:r>
        <w:rPr>
          <w:rFonts w:ascii="Calibri" w:hAnsi="Calibri" w:cs="Calibri"/>
          <w:b/>
          <w:i/>
          <w:szCs w:val="22"/>
        </w:rPr>
        <w:t>Observation 2</w:t>
      </w:r>
      <w:r w:rsidRPr="005E6EFC">
        <w:rPr>
          <w:rFonts w:ascii="Calibri" w:hAnsi="Calibri" w:cs="Calibri"/>
          <w:b/>
          <w:i/>
          <w:szCs w:val="22"/>
        </w:rPr>
        <w:t>:</w:t>
      </w:r>
      <w:r>
        <w:rPr>
          <w:rFonts w:ascii="Calibri" w:hAnsi="Calibri" w:cs="Calibri"/>
          <w:b/>
          <w:i/>
          <w:szCs w:val="22"/>
        </w:rPr>
        <w:t xml:space="preserve"> F</w:t>
      </w:r>
      <w:r w:rsidRPr="00B20664">
        <w:rPr>
          <w:rFonts w:ascii="Calibri" w:hAnsi="Calibri" w:cs="Calibri"/>
          <w:b/>
          <w:i/>
          <w:szCs w:val="22"/>
        </w:rPr>
        <w:t>rom RAN1’s perspective, it seems that no critical problems will occur or additional specification work will not be necessary even if SL IUC and SL DRX are operated simultaneously by a Rel.17 UE.</w:t>
      </w:r>
    </w:p>
    <w:p w:rsidR="0067177D" w:rsidRPr="0067177D" w:rsidRDefault="0067177D" w:rsidP="007000D9">
      <w:pPr>
        <w:spacing w:after="160" w:line="259" w:lineRule="auto"/>
        <w:rPr>
          <w:rFonts w:ascii="Calibri" w:hAnsi="Calibri" w:cs="Calibri" w:hint="eastAsia"/>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9926C9" w:rsidRPr="009926C9">
        <w:rPr>
          <w:rFonts w:ascii="Calibri" w:hAnsi="Calibri" w:cs="Calibri"/>
          <w:szCs w:val="22"/>
        </w:rPr>
        <w:t>R1-2401944</w:t>
      </w:r>
      <w:r w:rsidRPr="003D1CDE">
        <w:rPr>
          <w:rFonts w:ascii="Calibri" w:hAnsi="Calibri" w:cs="Calibri"/>
          <w:szCs w:val="22"/>
        </w:rPr>
        <w:t>, “</w:t>
      </w:r>
      <w:r w:rsidR="002C7916" w:rsidRPr="002C7916">
        <w:rPr>
          <w:rFonts w:ascii="Calibri" w:hAnsi="Calibri" w:cs="Calibri"/>
          <w:szCs w:val="22"/>
        </w:rPr>
        <w:t>LS on IUC or DRX in co-channel co-existence</w:t>
      </w:r>
      <w:r w:rsidRPr="003D1CDE">
        <w:rPr>
          <w:rFonts w:ascii="Calibri" w:hAnsi="Calibri" w:cs="Calibri"/>
          <w:szCs w:val="22"/>
        </w:rPr>
        <w:t xml:space="preserve">,” </w:t>
      </w:r>
      <w:r w:rsidR="004D6974" w:rsidRPr="004D6974">
        <w:rPr>
          <w:rFonts w:ascii="Calibri" w:hAnsi="Calibri" w:cs="Calibri"/>
          <w:szCs w:val="22"/>
        </w:rPr>
        <w:t>RAN2, xiaomi</w:t>
      </w:r>
      <w:r w:rsidRPr="003D1CDE">
        <w:rPr>
          <w:rFonts w:ascii="Calibri" w:hAnsi="Calibri" w:cs="Calibri"/>
          <w:szCs w:val="22"/>
        </w:rPr>
        <w:t>.</w:t>
      </w:r>
    </w:p>
    <w:p w:rsidR="00131BB0" w:rsidRPr="00AB257C" w:rsidRDefault="00131BB0" w:rsidP="007000D9">
      <w:pPr>
        <w:pStyle w:val="LGTdoc0"/>
        <w:spacing w:afterLines="0" w:after="0" w:line="240" w:lineRule="auto"/>
        <w:rPr>
          <w:rFonts w:ascii="Calibri" w:hAnsi="Calibri" w:cs="Calibri" w:hint="eastAsia"/>
          <w:szCs w:val="22"/>
        </w:rPr>
      </w:pPr>
      <w:r w:rsidRPr="003D1CDE">
        <w:rPr>
          <w:rFonts w:ascii="Calibri" w:hAnsi="Calibri" w:cs="Calibri"/>
          <w:szCs w:val="22"/>
        </w:rPr>
        <w:t>[</w:t>
      </w:r>
      <w:r>
        <w:rPr>
          <w:rFonts w:ascii="Calibri" w:hAnsi="Calibri" w:cs="Calibri"/>
          <w:szCs w:val="22"/>
        </w:rPr>
        <w:t>2</w:t>
      </w:r>
      <w:r w:rsidRPr="003D1CDE">
        <w:rPr>
          <w:rFonts w:ascii="Calibri" w:hAnsi="Calibri" w:cs="Calibri"/>
          <w:szCs w:val="22"/>
        </w:rPr>
        <w:t xml:space="preserve">] </w:t>
      </w:r>
      <w:r w:rsidR="003072D0" w:rsidRPr="003072D0">
        <w:rPr>
          <w:rFonts w:ascii="Calibri" w:hAnsi="Calibri" w:cs="Calibri"/>
          <w:szCs w:val="22"/>
        </w:rPr>
        <w:t>R2-2402319</w:t>
      </w:r>
      <w:r w:rsidRPr="003D1CDE">
        <w:rPr>
          <w:rFonts w:ascii="Calibri" w:hAnsi="Calibri" w:cs="Calibri"/>
          <w:szCs w:val="22"/>
        </w:rPr>
        <w:t>, “</w:t>
      </w:r>
      <w:r w:rsidR="003072D0" w:rsidRPr="003072D0">
        <w:rPr>
          <w:rFonts w:ascii="Calibri" w:hAnsi="Calibri" w:cs="Calibri"/>
          <w:szCs w:val="22"/>
        </w:rPr>
        <w:t>Coexistence between SL DRX and SL IUC</w:t>
      </w:r>
      <w:r w:rsidR="003072D0">
        <w:rPr>
          <w:rFonts w:ascii="Calibri" w:hAnsi="Calibri" w:cs="Calibri"/>
          <w:szCs w:val="22"/>
        </w:rPr>
        <w:t>,</w:t>
      </w:r>
      <w:r w:rsidRPr="003D1CDE">
        <w:rPr>
          <w:rFonts w:ascii="Calibri" w:hAnsi="Calibri" w:cs="Calibri"/>
          <w:szCs w:val="22"/>
        </w:rPr>
        <w:t>”</w:t>
      </w:r>
      <w:r w:rsidRPr="004D6974">
        <w:rPr>
          <w:rFonts w:ascii="Calibri" w:hAnsi="Calibri" w:cs="Calibri"/>
          <w:szCs w:val="22"/>
        </w:rPr>
        <w:t xml:space="preserve"> </w:t>
      </w:r>
      <w:r w:rsidR="003072D0" w:rsidRPr="003072D0">
        <w:rPr>
          <w:rFonts w:ascii="Calibri" w:hAnsi="Calibri" w:cs="Calibri"/>
          <w:szCs w:val="22"/>
        </w:rPr>
        <w:t>LG Electronics</w:t>
      </w:r>
      <w:r w:rsidRPr="003D1CDE">
        <w:rPr>
          <w:rFonts w:ascii="Calibri" w:hAnsi="Calibri" w:cs="Calibri"/>
          <w:szCs w:val="22"/>
        </w:rPr>
        <w:t>.</w:t>
      </w:r>
    </w:p>
    <w:sectPr w:rsidR="00131BB0" w:rsidRPr="00AB257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4A4" w:rsidRDefault="004404A4">
      <w:r>
        <w:separator/>
      </w:r>
    </w:p>
  </w:endnote>
  <w:endnote w:type="continuationSeparator" w:id="0">
    <w:p w:rsidR="004404A4" w:rsidRDefault="0044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1C7B">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4A4" w:rsidRDefault="004404A4">
      <w:r>
        <w:separator/>
      </w:r>
    </w:p>
  </w:footnote>
  <w:footnote w:type="continuationSeparator" w:id="0">
    <w:p w:rsidR="004404A4" w:rsidRDefault="004404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9"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9"/>
  </w:num>
  <w:num w:numId="3">
    <w:abstractNumId w:val="38"/>
  </w:num>
  <w:num w:numId="4">
    <w:abstractNumId w:val="39"/>
  </w:num>
  <w:num w:numId="5">
    <w:abstractNumId w:val="22"/>
  </w:num>
  <w:num w:numId="6">
    <w:abstractNumId w:val="30"/>
  </w:num>
  <w:num w:numId="7">
    <w:abstractNumId w:val="20"/>
  </w:num>
  <w:num w:numId="8">
    <w:abstractNumId w:val="23"/>
  </w:num>
  <w:num w:numId="9">
    <w:abstractNumId w:val="37"/>
  </w:num>
  <w:num w:numId="10">
    <w:abstractNumId w:val="2"/>
  </w:num>
  <w:num w:numId="11">
    <w:abstractNumId w:val="8"/>
  </w:num>
  <w:num w:numId="12">
    <w:abstractNumId w:val="32"/>
  </w:num>
  <w:num w:numId="13">
    <w:abstractNumId w:val="40"/>
  </w:num>
  <w:num w:numId="14">
    <w:abstractNumId w:val="27"/>
  </w:num>
  <w:num w:numId="15">
    <w:abstractNumId w:val="35"/>
  </w:num>
  <w:num w:numId="16">
    <w:abstractNumId w:val="12"/>
  </w:num>
  <w:num w:numId="17">
    <w:abstractNumId w:val="24"/>
  </w:num>
  <w:num w:numId="18">
    <w:abstractNumId w:val="4"/>
  </w:num>
  <w:num w:numId="19">
    <w:abstractNumId w:val="17"/>
  </w:num>
  <w:num w:numId="20">
    <w:abstractNumId w:val="25"/>
  </w:num>
  <w:num w:numId="21">
    <w:abstractNumId w:val="10"/>
  </w:num>
  <w:num w:numId="22">
    <w:abstractNumId w:val="9"/>
  </w:num>
  <w:num w:numId="23">
    <w:abstractNumId w:val="1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3"/>
  </w:num>
  <w:num w:numId="27">
    <w:abstractNumId w:val="31"/>
  </w:num>
  <w:num w:numId="28">
    <w:abstractNumId w:val="1"/>
  </w:num>
  <w:num w:numId="29">
    <w:abstractNumId w:val="18"/>
  </w:num>
  <w:num w:numId="30">
    <w:abstractNumId w:val="26"/>
  </w:num>
  <w:num w:numId="31">
    <w:abstractNumId w:val="26"/>
  </w:num>
  <w:num w:numId="32">
    <w:abstractNumId w:val="3"/>
  </w:num>
  <w:num w:numId="33">
    <w:abstractNumId w:val="36"/>
  </w:num>
  <w:num w:numId="34">
    <w:abstractNumId w:val="16"/>
  </w:num>
  <w:num w:numId="35">
    <w:abstractNumId w:val="34"/>
  </w:num>
  <w:num w:numId="36">
    <w:abstractNumId w:val="28"/>
  </w:num>
  <w:num w:numId="37">
    <w:abstractNumId w:val="11"/>
  </w:num>
  <w:num w:numId="38">
    <w:abstractNumId w:val="21"/>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3"/>
  </w:num>
  <w:num w:numId="42">
    <w:abstractNumId w:val="19"/>
  </w:num>
  <w:num w:numId="4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43E1"/>
    <w:rsid w:val="00674809"/>
    <w:rsid w:val="00674966"/>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4ADC1"/>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BD664-355C-4F2A-B5A4-FD86A221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2</Pages>
  <Words>823</Words>
  <Characters>4695</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5507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302</cp:revision>
  <cp:lastPrinted>2018-10-31T08:18:00Z</cp:lastPrinted>
  <dcterms:created xsi:type="dcterms:W3CDTF">2022-04-25T05:58:00Z</dcterms:created>
  <dcterms:modified xsi:type="dcterms:W3CDTF">2024-04-05T13:13:00Z</dcterms:modified>
</cp:coreProperties>
</file>